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E3FA" w14:textId="4F4DB20C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Naziv obveznika: </w:t>
      </w:r>
      <w:r w:rsidR="00541524">
        <w:rPr>
          <w:rFonts w:cs="Times New Roman"/>
          <w:b/>
          <w:szCs w:val="24"/>
        </w:rPr>
        <w:t>OSNOVNA ŠKOLA DRAGUTINA TADIJANOVIĆA PETRINJA</w:t>
      </w:r>
    </w:p>
    <w:p w14:paraId="5916B108" w14:textId="5328E5D4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Poštanski broj i mjesto: </w:t>
      </w:r>
      <w:r w:rsidR="00541524">
        <w:rPr>
          <w:rFonts w:cs="Times New Roman"/>
          <w:b/>
          <w:szCs w:val="24"/>
        </w:rPr>
        <w:t>44250 PETRINJA</w:t>
      </w:r>
    </w:p>
    <w:p w14:paraId="5692571F" w14:textId="081C7442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Adresa sjedišta:</w:t>
      </w:r>
      <w:r w:rsidR="0077132E">
        <w:rPr>
          <w:rFonts w:cs="Times New Roman"/>
          <w:szCs w:val="24"/>
        </w:rPr>
        <w:t xml:space="preserve"> </w:t>
      </w:r>
      <w:r w:rsidRPr="00985F07">
        <w:rPr>
          <w:rFonts w:cs="Times New Roman"/>
          <w:b/>
          <w:szCs w:val="24"/>
        </w:rPr>
        <w:t xml:space="preserve">TRG </w:t>
      </w:r>
      <w:r w:rsidR="00541524">
        <w:rPr>
          <w:rFonts w:cs="Times New Roman"/>
          <w:b/>
          <w:szCs w:val="24"/>
        </w:rPr>
        <w:t>MATICE HRVATSKE 9/B</w:t>
      </w:r>
    </w:p>
    <w:p w14:paraId="47252A96" w14:textId="0B71EC6E" w:rsidR="00497F25" w:rsidRPr="00985F07" w:rsidRDefault="00497F25" w:rsidP="00497F25">
      <w:pPr>
        <w:pStyle w:val="Bezproreda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Šifra županije,grada:</w:t>
      </w:r>
      <w:r w:rsidRPr="00985F07">
        <w:rPr>
          <w:rFonts w:cs="Times New Roman"/>
          <w:b/>
          <w:szCs w:val="24"/>
        </w:rPr>
        <w:t>3</w:t>
      </w:r>
      <w:r w:rsidR="00541524">
        <w:rPr>
          <w:rFonts w:cs="Times New Roman"/>
          <w:b/>
          <w:szCs w:val="24"/>
        </w:rPr>
        <w:t>28</w:t>
      </w:r>
    </w:p>
    <w:p w14:paraId="77DF8CAA" w14:textId="26247E91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Broj RKP:</w:t>
      </w:r>
      <w:r w:rsidR="00541524">
        <w:rPr>
          <w:rFonts w:cs="Times New Roman"/>
          <w:b/>
          <w:szCs w:val="24"/>
        </w:rPr>
        <w:t>11599</w:t>
      </w:r>
    </w:p>
    <w:p w14:paraId="56243D3C" w14:textId="6ACFF696" w:rsidR="00497F25" w:rsidRPr="00985F07" w:rsidRDefault="00497F25" w:rsidP="00497F25">
      <w:pPr>
        <w:pStyle w:val="Bezproreda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Matični broj:</w:t>
      </w:r>
      <w:r w:rsidR="00541524">
        <w:rPr>
          <w:rFonts w:cs="Times New Roman"/>
          <w:b/>
          <w:szCs w:val="24"/>
        </w:rPr>
        <w:t>03083004</w:t>
      </w:r>
    </w:p>
    <w:p w14:paraId="474DFACB" w14:textId="5C449D8A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OIB:</w:t>
      </w:r>
      <w:r w:rsidR="00541524">
        <w:rPr>
          <w:rFonts w:cs="Times New Roman"/>
          <w:b/>
          <w:szCs w:val="24"/>
        </w:rPr>
        <w:t>34310703158</w:t>
      </w:r>
    </w:p>
    <w:p w14:paraId="159B08FA" w14:textId="77777777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>Razina:</w:t>
      </w:r>
      <w:r w:rsidRPr="00985F07">
        <w:rPr>
          <w:rFonts w:cs="Times New Roman"/>
          <w:b/>
          <w:szCs w:val="24"/>
        </w:rPr>
        <w:t>31</w:t>
      </w:r>
    </w:p>
    <w:p w14:paraId="77B42061" w14:textId="77777777" w:rsidR="00497F25" w:rsidRPr="00985F07" w:rsidRDefault="00497F25" w:rsidP="00497F25">
      <w:pPr>
        <w:pStyle w:val="Bezproreda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Razdjel:</w:t>
      </w:r>
      <w:r w:rsidRPr="00985F07">
        <w:rPr>
          <w:rFonts w:cs="Times New Roman"/>
          <w:b/>
          <w:szCs w:val="24"/>
        </w:rPr>
        <w:t>000</w:t>
      </w:r>
    </w:p>
    <w:p w14:paraId="544B26F8" w14:textId="216BAC5D" w:rsidR="00497F25" w:rsidRPr="00985F07" w:rsidRDefault="00497F25" w:rsidP="00497F25">
      <w:pPr>
        <w:pStyle w:val="Bezproreda"/>
        <w:rPr>
          <w:rFonts w:cs="Times New Roman"/>
          <w:b/>
          <w:szCs w:val="24"/>
        </w:rPr>
      </w:pPr>
      <w:r w:rsidRPr="00985F07">
        <w:rPr>
          <w:rFonts w:cs="Times New Roman"/>
          <w:szCs w:val="24"/>
        </w:rPr>
        <w:t>Šifra djelatnosti:</w:t>
      </w:r>
      <w:r w:rsidR="00541524">
        <w:rPr>
          <w:rFonts w:cs="Times New Roman"/>
          <w:b/>
          <w:szCs w:val="24"/>
        </w:rPr>
        <w:t>8520</w:t>
      </w:r>
    </w:p>
    <w:p w14:paraId="6222CA23" w14:textId="7264FEDE" w:rsidR="00497F25" w:rsidRPr="00985F07" w:rsidRDefault="00497F25" w:rsidP="00497F25">
      <w:pPr>
        <w:pStyle w:val="Bezproreda"/>
        <w:rPr>
          <w:rFonts w:cs="Times New Roman"/>
          <w:szCs w:val="24"/>
        </w:rPr>
      </w:pPr>
      <w:r w:rsidRPr="00985F07">
        <w:rPr>
          <w:rFonts w:cs="Times New Roman"/>
          <w:szCs w:val="24"/>
        </w:rPr>
        <w:t xml:space="preserve">Oznaka razdoblja: </w:t>
      </w:r>
      <w:r w:rsidRPr="00985F07">
        <w:rPr>
          <w:rFonts w:cs="Times New Roman"/>
          <w:b/>
          <w:szCs w:val="24"/>
        </w:rPr>
        <w:t>01.01.202</w:t>
      </w:r>
      <w:r w:rsidR="0063231E">
        <w:rPr>
          <w:rFonts w:cs="Times New Roman"/>
          <w:b/>
          <w:szCs w:val="24"/>
        </w:rPr>
        <w:t>4</w:t>
      </w:r>
      <w:r w:rsidRPr="00985F07">
        <w:rPr>
          <w:rFonts w:cs="Times New Roman"/>
          <w:b/>
          <w:szCs w:val="24"/>
        </w:rPr>
        <w:t>.-30.06.202</w:t>
      </w:r>
      <w:r w:rsidR="0063231E">
        <w:rPr>
          <w:rFonts w:cs="Times New Roman"/>
          <w:b/>
          <w:szCs w:val="24"/>
        </w:rPr>
        <w:t>4</w:t>
      </w:r>
      <w:r w:rsidRPr="00985F07">
        <w:rPr>
          <w:rFonts w:cs="Times New Roman"/>
          <w:szCs w:val="24"/>
        </w:rPr>
        <w:t>.</w:t>
      </w:r>
    </w:p>
    <w:p w14:paraId="59DA7841" w14:textId="77777777" w:rsidR="00497F25" w:rsidRDefault="00497F25" w:rsidP="00497F25">
      <w:pPr>
        <w:pStyle w:val="Bezproreda"/>
        <w:rPr>
          <w:rFonts w:cs="Times New Roman"/>
          <w:szCs w:val="24"/>
        </w:rPr>
      </w:pPr>
    </w:p>
    <w:p w14:paraId="2D443D51" w14:textId="77777777" w:rsidR="00A81091" w:rsidRPr="00985F07" w:rsidRDefault="00A81091" w:rsidP="00497F25">
      <w:pPr>
        <w:pStyle w:val="Bezproreda"/>
        <w:rPr>
          <w:rFonts w:cs="Times New Roman"/>
          <w:szCs w:val="24"/>
        </w:rPr>
      </w:pPr>
    </w:p>
    <w:p w14:paraId="2DF10EE3" w14:textId="77777777" w:rsidR="00497F25" w:rsidRPr="00985F07" w:rsidRDefault="00497F25" w:rsidP="00497F25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985F07">
        <w:rPr>
          <w:rFonts w:cs="Times New Roman"/>
          <w:b/>
          <w:sz w:val="28"/>
          <w:szCs w:val="28"/>
        </w:rPr>
        <w:t>OBRAZLOŽENJE IZVJEŠTAJA O IZVRŠENJU FINANCIJSKOG PLANA</w:t>
      </w:r>
    </w:p>
    <w:p w14:paraId="13D4F8BA" w14:textId="3BE2BF26" w:rsidR="00497F25" w:rsidRPr="00985F07" w:rsidRDefault="00497F25" w:rsidP="00497F25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985F07">
        <w:rPr>
          <w:rFonts w:cs="Times New Roman"/>
          <w:b/>
          <w:sz w:val="28"/>
          <w:szCs w:val="28"/>
        </w:rPr>
        <w:t>od 1. – 6. mjeseca 202</w:t>
      </w:r>
      <w:r w:rsidR="0063231E">
        <w:rPr>
          <w:rFonts w:cs="Times New Roman"/>
          <w:b/>
          <w:sz w:val="28"/>
          <w:szCs w:val="28"/>
        </w:rPr>
        <w:t>4</w:t>
      </w:r>
      <w:r w:rsidRPr="00985F07">
        <w:rPr>
          <w:rFonts w:cs="Times New Roman"/>
          <w:b/>
          <w:sz w:val="28"/>
          <w:szCs w:val="28"/>
        </w:rPr>
        <w:t>. godine</w:t>
      </w:r>
    </w:p>
    <w:p w14:paraId="6C56BE60" w14:textId="77777777" w:rsidR="00497F25" w:rsidRPr="00985F07" w:rsidRDefault="00497F25" w:rsidP="00497F25">
      <w:pPr>
        <w:pStyle w:val="Bezproreda"/>
        <w:jc w:val="center"/>
        <w:rPr>
          <w:rFonts w:cs="Times New Roman"/>
          <w:b/>
          <w:sz w:val="28"/>
          <w:szCs w:val="28"/>
        </w:rPr>
      </w:pPr>
    </w:p>
    <w:p w14:paraId="56D25BAA" w14:textId="581ECE19" w:rsidR="00497F25" w:rsidRPr="00985F07" w:rsidRDefault="00497F25" w:rsidP="00497F25">
      <w:pPr>
        <w:pStyle w:val="Bezproreda"/>
      </w:pPr>
      <w:r w:rsidRPr="00985F07">
        <w:t>Odredbama članka 84. Zakona o proračunu (NN 1</w:t>
      </w:r>
      <w:r w:rsidR="001B1B98">
        <w:t>4</w:t>
      </w:r>
      <w:r w:rsidRPr="00985F07">
        <w:t>4/21), Obrazloženje polugodišnjeg i godišnjeg izvještaja o izvršenju financijskog plana proračunskog i izvanproračunskog korisnika sastoji se od obrazloženja općeg dijela izvještaja o izvršenju financijskog plana proračunskog i izvanproračunskog korisnika i obrazloženja posebnog dijela izvještaja o izvršenju financijskog plana proračunskog i izvanproračunskog korisnika.</w:t>
      </w:r>
    </w:p>
    <w:p w14:paraId="5F136D16" w14:textId="77777777" w:rsidR="00497F25" w:rsidRPr="00985F07" w:rsidRDefault="00497F25" w:rsidP="00497F25">
      <w:pPr>
        <w:pStyle w:val="Bezproreda"/>
      </w:pPr>
    </w:p>
    <w:p w14:paraId="074CC727" w14:textId="77777777" w:rsidR="00497F25" w:rsidRPr="00985F07" w:rsidRDefault="00497F25" w:rsidP="00497F25">
      <w:pPr>
        <w:pStyle w:val="Bezproreda"/>
      </w:pPr>
      <w:r w:rsidRPr="00985F07">
        <w:t xml:space="preserve">Polugodišnji izvještaj o izvršenju, kao i </w:t>
      </w:r>
      <w:r w:rsidR="00E54248" w:rsidRPr="00985F07">
        <w:t>podneseni financijski izvještaj</w:t>
      </w:r>
      <w:r w:rsidRPr="00985F07">
        <w:t xml:space="preserve"> za</w:t>
      </w:r>
      <w:r w:rsidR="00E54248" w:rsidRPr="00985F07">
        <w:t xml:space="preserve"> period od 1. do 6. mjeseca 2023. godine</w:t>
      </w:r>
      <w:r w:rsidRPr="00985F07">
        <w:t xml:space="preserve"> iskazani su u </w:t>
      </w:r>
      <w:r w:rsidR="00E54248" w:rsidRPr="00985F07">
        <w:t>eurima</w:t>
      </w:r>
      <w:r w:rsidRPr="00985F07">
        <w:t>.</w:t>
      </w:r>
    </w:p>
    <w:p w14:paraId="2780D4B3" w14:textId="77777777" w:rsidR="00E54248" w:rsidRPr="00985F07" w:rsidRDefault="00E54248" w:rsidP="00497F25">
      <w:pPr>
        <w:pStyle w:val="Bezproreda"/>
      </w:pPr>
    </w:p>
    <w:p w14:paraId="146C8CFB" w14:textId="77777777" w:rsidR="00E54248" w:rsidRPr="00985F07" w:rsidRDefault="00E54248" w:rsidP="00497F25">
      <w:pPr>
        <w:pStyle w:val="Bezproreda"/>
      </w:pPr>
    </w:p>
    <w:p w14:paraId="23692445" w14:textId="2E7BA4F7" w:rsidR="00E54248" w:rsidRPr="00985F07" w:rsidRDefault="00E54248" w:rsidP="00E54248">
      <w:pPr>
        <w:pStyle w:val="Naslov2"/>
        <w:rPr>
          <w:rFonts w:asciiTheme="minorHAnsi" w:eastAsiaTheme="minorHAnsi" w:hAnsiTheme="minorHAnsi"/>
          <w:sz w:val="24"/>
          <w:szCs w:val="24"/>
        </w:rPr>
      </w:pPr>
      <w:bookmarkStart w:id="0" w:name="_Hlk140149168"/>
      <w:r w:rsidRPr="00985F07">
        <w:rPr>
          <w:rFonts w:asciiTheme="minorHAnsi" w:eastAsiaTheme="minorHAnsi" w:hAnsiTheme="minorHAnsi"/>
          <w:sz w:val="24"/>
          <w:szCs w:val="24"/>
        </w:rPr>
        <w:t xml:space="preserve">OBRAZLOŽENJE </w:t>
      </w:r>
      <w:r w:rsidR="00920D3A">
        <w:rPr>
          <w:rFonts w:asciiTheme="minorHAnsi" w:eastAsiaTheme="minorHAnsi" w:hAnsiTheme="minorHAnsi"/>
          <w:sz w:val="24"/>
          <w:szCs w:val="24"/>
          <w:u w:val="single"/>
        </w:rPr>
        <w:t xml:space="preserve">SAŽETKA </w:t>
      </w:r>
      <w:r w:rsidRPr="00985F07">
        <w:rPr>
          <w:rFonts w:asciiTheme="minorHAnsi" w:hAnsiTheme="minorHAnsi"/>
          <w:sz w:val="24"/>
          <w:szCs w:val="24"/>
        </w:rPr>
        <w:t>POLU</w:t>
      </w:r>
      <w:r w:rsidRPr="00985F07">
        <w:rPr>
          <w:rFonts w:asciiTheme="minorHAnsi" w:eastAsiaTheme="minorHAnsi" w:hAnsiTheme="minorHAnsi"/>
          <w:sz w:val="24"/>
          <w:szCs w:val="24"/>
        </w:rPr>
        <w:t>GODIŠNJEG IZVJEŠTAJA O IZVRŠENJU FINANCIJSKOG PLANA</w:t>
      </w:r>
    </w:p>
    <w:bookmarkEnd w:id="0"/>
    <w:p w14:paraId="13A12F8E" w14:textId="77777777" w:rsidR="00E54248" w:rsidRPr="00985F07" w:rsidRDefault="00E54248" w:rsidP="00E54248">
      <w:pPr>
        <w:jc w:val="center"/>
        <w:rPr>
          <w:rFonts w:cs="Times New Roman"/>
          <w:b/>
          <w:sz w:val="24"/>
          <w:szCs w:val="24"/>
        </w:rPr>
      </w:pPr>
      <w:r w:rsidRPr="00985F07">
        <w:rPr>
          <w:rFonts w:cs="Times New Roman"/>
          <w:b/>
          <w:sz w:val="24"/>
          <w:szCs w:val="24"/>
        </w:rPr>
        <w:t>od 1. – 6. mjeseca 2023. godine</w:t>
      </w:r>
    </w:p>
    <w:p w14:paraId="0C9F62E6" w14:textId="316DDDAD" w:rsidR="00A81091" w:rsidRDefault="00920D3A" w:rsidP="00920D3A">
      <w:pPr>
        <w:pStyle w:val="Bezproreda"/>
        <w:numPr>
          <w:ilvl w:val="0"/>
          <w:numId w:val="10"/>
        </w:numPr>
      </w:pPr>
      <w:r>
        <w:t>Sažetak računa prihoda i rashoda</w:t>
      </w:r>
    </w:p>
    <w:p w14:paraId="59A1BF42" w14:textId="77777777" w:rsidR="00A81091" w:rsidRDefault="00A81091" w:rsidP="00985F07">
      <w:pPr>
        <w:pStyle w:val="Bezproreda"/>
      </w:pPr>
    </w:p>
    <w:p w14:paraId="0F151A6E" w14:textId="44B1764C" w:rsidR="003244F6" w:rsidRDefault="00A81091" w:rsidP="00A81091">
      <w:pPr>
        <w:pStyle w:val="Bezproreda"/>
      </w:pPr>
      <w:r w:rsidRPr="00A81091">
        <w:t xml:space="preserve">Od ukupno planiranih prihoda poslovanja, </w:t>
      </w:r>
      <w:r w:rsidR="00541524">
        <w:t>Osnovna škola Dragutina Tadijanovića Petrinja</w:t>
      </w:r>
      <w:r w:rsidRPr="00A81091">
        <w:t xml:space="preserve"> </w:t>
      </w:r>
      <w:r w:rsidR="00541524">
        <w:t xml:space="preserve">ostvarila je </w:t>
      </w:r>
      <w:r w:rsidR="0063231E">
        <w:t>60</w:t>
      </w:r>
      <w:r w:rsidRPr="00A81091">
        <w:t xml:space="preserve">%, </w:t>
      </w:r>
      <w:r w:rsidR="003244F6">
        <w:t xml:space="preserve">što je </w:t>
      </w:r>
      <w:r w:rsidR="006632FD">
        <w:t>10 % više od polugodišnjeg iznosa</w:t>
      </w:r>
    </w:p>
    <w:p w14:paraId="11391165" w14:textId="77777777" w:rsidR="007F6E37" w:rsidRDefault="007F6E37" w:rsidP="00920D3A">
      <w:pPr>
        <w:pStyle w:val="Bezproreda"/>
        <w:ind w:left="360"/>
      </w:pPr>
    </w:p>
    <w:p w14:paraId="17AC9923" w14:textId="3AF13C48" w:rsidR="00E54248" w:rsidRPr="006632FD" w:rsidRDefault="00920D3A" w:rsidP="007A4B0F">
      <w:pPr>
        <w:pStyle w:val="Bezproreda"/>
        <w:numPr>
          <w:ilvl w:val="0"/>
          <w:numId w:val="9"/>
        </w:numPr>
        <w:jc w:val="left"/>
        <w:rPr>
          <w:rFonts w:cs="Times New Roman"/>
          <w:b/>
          <w:szCs w:val="24"/>
        </w:rPr>
      </w:pPr>
      <w:r>
        <w:t xml:space="preserve">  </w:t>
      </w:r>
      <w:r w:rsidR="006632FD">
        <w:t xml:space="preserve">Pomoći proračunskim korisnicima iz proračuna koji im nije nadležan 663 </w:t>
      </w:r>
      <w:r w:rsidR="00541524">
        <w:t xml:space="preserve"> </w:t>
      </w:r>
    </w:p>
    <w:p w14:paraId="53A27335" w14:textId="04F11CA7" w:rsidR="006632FD" w:rsidRDefault="006632FD" w:rsidP="006632FD">
      <w:pPr>
        <w:pStyle w:val="Bezproreda"/>
        <w:ind w:left="1147"/>
        <w:jc w:val="left"/>
      </w:pPr>
      <w:r>
        <w:t xml:space="preserve">  Povećani za  10 % u odnosu na polugodište uredbom o koeficijentima povećani</w:t>
      </w:r>
    </w:p>
    <w:p w14:paraId="30E4F8CD" w14:textId="34E9EF29" w:rsidR="006632FD" w:rsidRDefault="006632FD" w:rsidP="006632FD">
      <w:pPr>
        <w:pStyle w:val="Bezproreda"/>
        <w:ind w:left="1147"/>
        <w:jc w:val="left"/>
      </w:pPr>
      <w:r>
        <w:t xml:space="preserve">  Prihodi za plaće zaposlenih</w:t>
      </w:r>
    </w:p>
    <w:p w14:paraId="154CB1A4" w14:textId="00A5EEE8" w:rsidR="006632FD" w:rsidRPr="006632FD" w:rsidRDefault="006632FD" w:rsidP="006632FD">
      <w:pPr>
        <w:pStyle w:val="Bezproreda"/>
        <w:numPr>
          <w:ilvl w:val="0"/>
          <w:numId w:val="9"/>
        </w:numPr>
        <w:jc w:val="left"/>
        <w:rPr>
          <w:rFonts w:cs="Times New Roman"/>
          <w:b/>
          <w:szCs w:val="24"/>
        </w:rPr>
      </w:pPr>
      <w:r>
        <w:t xml:space="preserve">  Prihodi po posebnim propisima 652 smanjeni u odnosu na prethodnu godinu</w:t>
      </w:r>
    </w:p>
    <w:p w14:paraId="78CAFE03" w14:textId="529F4B22" w:rsidR="006632FD" w:rsidRDefault="006632FD" w:rsidP="006632FD">
      <w:pPr>
        <w:pStyle w:val="Bezproreda"/>
        <w:ind w:left="1147"/>
        <w:jc w:val="left"/>
      </w:pPr>
      <w:r>
        <w:t xml:space="preserve"> U ovom obračunskom razdoblju nije bilo sufinanciranja troškova prehrane      učenika</w:t>
      </w:r>
    </w:p>
    <w:p w14:paraId="44124160" w14:textId="77777777" w:rsidR="006632FD" w:rsidRPr="006632FD" w:rsidRDefault="006632FD" w:rsidP="006632FD">
      <w:pPr>
        <w:pStyle w:val="Bezproreda"/>
        <w:ind w:left="1147"/>
        <w:jc w:val="left"/>
        <w:rPr>
          <w:rFonts w:cs="Times New Roman"/>
          <w:b/>
          <w:szCs w:val="24"/>
        </w:rPr>
      </w:pPr>
    </w:p>
    <w:p w14:paraId="006F2879" w14:textId="70D1692F" w:rsidR="00272C8E" w:rsidRDefault="0091278E" w:rsidP="00272C8E">
      <w:pPr>
        <w:rPr>
          <w:rFonts w:cs="Times New Roman"/>
          <w:bCs/>
          <w:sz w:val="24"/>
          <w:szCs w:val="24"/>
        </w:rPr>
      </w:pPr>
      <w:r w:rsidRPr="0091278E">
        <w:rPr>
          <w:rFonts w:cs="Times New Roman"/>
          <w:bCs/>
          <w:sz w:val="24"/>
          <w:szCs w:val="24"/>
        </w:rPr>
        <w:t xml:space="preserve">Od ukupno planiranih rashoda Osnovna škola Dragutina Tadijanovića Petrinja ostvarila je rashod </w:t>
      </w:r>
      <w:r w:rsidR="00272C8E">
        <w:rPr>
          <w:rFonts w:cs="Times New Roman"/>
          <w:bCs/>
          <w:sz w:val="24"/>
          <w:szCs w:val="24"/>
        </w:rPr>
        <w:t>60</w:t>
      </w:r>
      <w:r w:rsidRPr="0091278E">
        <w:rPr>
          <w:rFonts w:cs="Times New Roman"/>
          <w:bCs/>
          <w:sz w:val="24"/>
          <w:szCs w:val="24"/>
        </w:rPr>
        <w:t xml:space="preserve">% što je </w:t>
      </w:r>
      <w:r w:rsidR="00272C8E">
        <w:rPr>
          <w:rFonts w:cs="Times New Roman"/>
          <w:bCs/>
          <w:sz w:val="24"/>
          <w:szCs w:val="24"/>
        </w:rPr>
        <w:t>10 % više od polugodišnjeg iznos</w:t>
      </w:r>
    </w:p>
    <w:p w14:paraId="2CBD2171" w14:textId="3CFB7C0F" w:rsidR="00046380" w:rsidRDefault="00046380" w:rsidP="00046380">
      <w:pPr>
        <w:pStyle w:val="Odlomakpopisa"/>
        <w:numPr>
          <w:ilvl w:val="0"/>
          <w:numId w:val="9"/>
        </w:num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Rashodi za zaposlene su veći u odnosu na polugodište i prethodnu godinu</w:t>
      </w:r>
    </w:p>
    <w:p w14:paraId="16D330AE" w14:textId="4165BD3A" w:rsidR="00046380" w:rsidRPr="00046380" w:rsidRDefault="00046380" w:rsidP="00046380">
      <w:pPr>
        <w:pStyle w:val="Odlomakpopisa"/>
        <w:ind w:left="1147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Novom uredbom o koeficijentima veći rashodi za plaće zaposlenika </w:t>
      </w:r>
    </w:p>
    <w:p w14:paraId="059720F0" w14:textId="11D73802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</w:p>
    <w:p w14:paraId="088C6DA3" w14:textId="74E5C565" w:rsidR="00920D3A" w:rsidRDefault="00920D3A" w:rsidP="00920D3A">
      <w:pPr>
        <w:pStyle w:val="Odlomakpopisa"/>
        <w:numPr>
          <w:ilvl w:val="0"/>
          <w:numId w:val="10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Sažetak računa financiranja</w:t>
      </w:r>
    </w:p>
    <w:p w14:paraId="2DD2AB81" w14:textId="405DEAB7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Osnovna škola Dragutina Tadijanovića Petrinja nije imala zajmova .</w:t>
      </w:r>
    </w:p>
    <w:p w14:paraId="6E025056" w14:textId="69D0D59F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</w:p>
    <w:p w14:paraId="0BA021A3" w14:textId="48549EEB" w:rsidR="00920D3A" w:rsidRDefault="00920D3A" w:rsidP="00920D3A">
      <w:pPr>
        <w:pStyle w:val="Odlomakpopisa"/>
        <w:numPr>
          <w:ilvl w:val="0"/>
          <w:numId w:val="10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Preneseni višak ili manjak</w:t>
      </w:r>
    </w:p>
    <w:p w14:paraId="762C82C5" w14:textId="13BAFE8C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Osnovna škola Dragutina Tadijanovića na kraju godine 202</w:t>
      </w:r>
      <w:r w:rsidR="00046380">
        <w:rPr>
          <w:rFonts w:cs="Times New Roman"/>
          <w:bCs/>
          <w:sz w:val="24"/>
          <w:szCs w:val="24"/>
        </w:rPr>
        <w:t>3</w:t>
      </w:r>
      <w:r>
        <w:rPr>
          <w:rFonts w:cs="Times New Roman"/>
          <w:bCs/>
          <w:sz w:val="24"/>
          <w:szCs w:val="24"/>
        </w:rPr>
        <w:t xml:space="preserve">. godine prenijela je višak u iznosu od </w:t>
      </w:r>
      <w:r w:rsidR="00046380">
        <w:rPr>
          <w:rFonts w:cs="Times New Roman"/>
          <w:bCs/>
          <w:sz w:val="24"/>
          <w:szCs w:val="24"/>
        </w:rPr>
        <w:t>35.742,50</w:t>
      </w:r>
      <w:r>
        <w:rPr>
          <w:rFonts w:cs="Times New Roman"/>
          <w:bCs/>
          <w:sz w:val="24"/>
          <w:szCs w:val="24"/>
        </w:rPr>
        <w:t xml:space="preserve"> eura , u ovom obračunskom razdoblju ostvarila je višak od </w:t>
      </w:r>
      <w:r w:rsidR="00046380">
        <w:rPr>
          <w:rFonts w:cs="Times New Roman"/>
          <w:bCs/>
          <w:sz w:val="24"/>
          <w:szCs w:val="24"/>
        </w:rPr>
        <w:t>5.644,89</w:t>
      </w:r>
      <w:r>
        <w:rPr>
          <w:rFonts w:cs="Times New Roman"/>
          <w:bCs/>
          <w:sz w:val="24"/>
          <w:szCs w:val="24"/>
        </w:rPr>
        <w:t xml:space="preserve"> eura što ukupno iznosi </w:t>
      </w:r>
      <w:r w:rsidR="00046380">
        <w:rPr>
          <w:rFonts w:cs="Times New Roman"/>
          <w:bCs/>
          <w:sz w:val="24"/>
          <w:szCs w:val="24"/>
        </w:rPr>
        <w:t>41.387,39</w:t>
      </w:r>
      <w:r>
        <w:rPr>
          <w:rFonts w:cs="Times New Roman"/>
          <w:bCs/>
          <w:sz w:val="24"/>
          <w:szCs w:val="24"/>
        </w:rPr>
        <w:t xml:space="preserve"> eura .</w:t>
      </w:r>
    </w:p>
    <w:p w14:paraId="6844D0CB" w14:textId="0932C846" w:rsidR="00920D3A" w:rsidRDefault="00920D3A" w:rsidP="00920D3A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Višak se odnosi na neutrošena sredstva </w:t>
      </w:r>
      <w:r w:rsidR="00046380">
        <w:rPr>
          <w:rFonts w:cs="Times New Roman"/>
          <w:bCs/>
          <w:sz w:val="24"/>
          <w:szCs w:val="24"/>
        </w:rPr>
        <w:t>projekta u kojem smo partneri, neutrošena sredstva za posebne namjene kao i vlastitog prihoda</w:t>
      </w:r>
    </w:p>
    <w:p w14:paraId="5E6A03C8" w14:textId="0212A6DF" w:rsidR="00046380" w:rsidRPr="00920D3A" w:rsidRDefault="00046380" w:rsidP="00920D3A">
      <w:pPr>
        <w:jc w:val="both"/>
        <w:rPr>
          <w:rFonts w:cs="Times New Roman"/>
          <w:bCs/>
          <w:sz w:val="24"/>
          <w:szCs w:val="24"/>
        </w:rPr>
      </w:pPr>
    </w:p>
    <w:p w14:paraId="740FBF56" w14:textId="52A7E7BB" w:rsidR="0091278E" w:rsidRPr="0091278E" w:rsidRDefault="0091278E" w:rsidP="00E54248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</w:t>
      </w:r>
    </w:p>
    <w:p w14:paraId="0E8FF0CE" w14:textId="77777777" w:rsidR="00E54248" w:rsidRDefault="00E54248" w:rsidP="00497F25">
      <w:pPr>
        <w:pStyle w:val="Bezproreda"/>
      </w:pPr>
    </w:p>
    <w:p w14:paraId="4315B892" w14:textId="77777777" w:rsidR="00E54248" w:rsidRPr="00497F25" w:rsidRDefault="00E54248" w:rsidP="00497F25">
      <w:pPr>
        <w:pStyle w:val="Bezproreda"/>
      </w:pPr>
    </w:p>
    <w:p w14:paraId="3356998C" w14:textId="77777777" w:rsidR="00497F25" w:rsidRPr="00497F25" w:rsidRDefault="00497F25" w:rsidP="00497F25">
      <w:pPr>
        <w:pStyle w:val="Bezproreda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D67E7" w14:textId="77777777" w:rsidR="00497F25" w:rsidRPr="00497F25" w:rsidRDefault="00497F25" w:rsidP="00497F2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7CCCD" w14:textId="77777777" w:rsidR="004B729B" w:rsidRDefault="004B729B" w:rsidP="007A1002">
      <w:pPr>
        <w:pStyle w:val="Naslov1"/>
        <w:jc w:val="left"/>
      </w:pPr>
    </w:p>
    <w:sectPr w:rsidR="004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747"/>
    <w:multiLevelType w:val="hybridMultilevel"/>
    <w:tmpl w:val="C6FEB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031"/>
    <w:multiLevelType w:val="hybridMultilevel"/>
    <w:tmpl w:val="4ED46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AB2"/>
    <w:multiLevelType w:val="hybridMultilevel"/>
    <w:tmpl w:val="883A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F5C83"/>
    <w:multiLevelType w:val="hybridMultilevel"/>
    <w:tmpl w:val="958EDCCC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6273E"/>
    <w:multiLevelType w:val="hybridMultilevel"/>
    <w:tmpl w:val="1D661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5DE1"/>
    <w:multiLevelType w:val="hybridMultilevel"/>
    <w:tmpl w:val="7722C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2191"/>
    <w:multiLevelType w:val="hybridMultilevel"/>
    <w:tmpl w:val="CA8CD4A8"/>
    <w:lvl w:ilvl="0" w:tplc="91A02E34">
      <w:numFmt w:val="bullet"/>
      <w:lvlText w:val="-"/>
      <w:lvlJc w:val="left"/>
      <w:pPr>
        <w:ind w:left="114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62D27035"/>
    <w:multiLevelType w:val="hybridMultilevel"/>
    <w:tmpl w:val="37F0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447E"/>
    <w:multiLevelType w:val="hybridMultilevel"/>
    <w:tmpl w:val="889093E6"/>
    <w:lvl w:ilvl="0" w:tplc="7E10A048">
      <w:numFmt w:val="bullet"/>
      <w:lvlText w:val="﷒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43039"/>
    <w:multiLevelType w:val="hybridMultilevel"/>
    <w:tmpl w:val="6868C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25"/>
    <w:rsid w:val="000035D5"/>
    <w:rsid w:val="000229AC"/>
    <w:rsid w:val="00046380"/>
    <w:rsid w:val="00134A0A"/>
    <w:rsid w:val="001B1B98"/>
    <w:rsid w:val="00253AB5"/>
    <w:rsid w:val="00257D05"/>
    <w:rsid w:val="00272C8E"/>
    <w:rsid w:val="002E5221"/>
    <w:rsid w:val="003244F6"/>
    <w:rsid w:val="00497F25"/>
    <w:rsid w:val="004A7618"/>
    <w:rsid w:val="004B729B"/>
    <w:rsid w:val="00530D60"/>
    <w:rsid w:val="00541524"/>
    <w:rsid w:val="00601AA0"/>
    <w:rsid w:val="00610F57"/>
    <w:rsid w:val="006318F6"/>
    <w:rsid w:val="0063231E"/>
    <w:rsid w:val="0064730F"/>
    <w:rsid w:val="006632FD"/>
    <w:rsid w:val="006853C7"/>
    <w:rsid w:val="0077132E"/>
    <w:rsid w:val="00777C91"/>
    <w:rsid w:val="007A1002"/>
    <w:rsid w:val="007F6E37"/>
    <w:rsid w:val="00835B05"/>
    <w:rsid w:val="008633F4"/>
    <w:rsid w:val="008D2202"/>
    <w:rsid w:val="0091278E"/>
    <w:rsid w:val="00920D3A"/>
    <w:rsid w:val="00964D2F"/>
    <w:rsid w:val="00985F07"/>
    <w:rsid w:val="009A4480"/>
    <w:rsid w:val="00A44B5C"/>
    <w:rsid w:val="00A81091"/>
    <w:rsid w:val="00C543AC"/>
    <w:rsid w:val="00D8034A"/>
    <w:rsid w:val="00E01ED9"/>
    <w:rsid w:val="00E54248"/>
    <w:rsid w:val="00EB1872"/>
    <w:rsid w:val="00ED3301"/>
    <w:rsid w:val="00F211E2"/>
    <w:rsid w:val="00F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9F3C"/>
  <w15:docId w15:val="{465CFE4D-D435-415A-971F-87C8F1A2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25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97F2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54248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5F07"/>
    <w:pPr>
      <w:spacing w:after="0" w:line="240" w:lineRule="auto"/>
      <w:jc w:val="both"/>
    </w:pPr>
    <w:rPr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497F25"/>
    <w:rPr>
      <w:rFonts w:ascii="Times New Roman" w:eastAsiaTheme="majorEastAsia" w:hAnsi="Times New Roman" w:cstheme="majorBidi"/>
      <w:b/>
      <w:bCs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54248"/>
    <w:rPr>
      <w:rFonts w:ascii="Times New Roman" w:eastAsiaTheme="majorEastAsia" w:hAnsi="Times New Roman" w:cstheme="majorBidi"/>
      <w:b/>
      <w:bCs/>
      <w:sz w:val="26"/>
      <w:szCs w:val="26"/>
      <w:lang w:eastAsia="hr-HR"/>
    </w:rPr>
  </w:style>
  <w:style w:type="table" w:styleId="Reetkatablice">
    <w:name w:val="Table Grid"/>
    <w:basedOn w:val="Obinatablica"/>
    <w:uiPriority w:val="59"/>
    <w:rsid w:val="0098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-Isticanje6">
    <w:name w:val="Light Grid Accent 6"/>
    <w:basedOn w:val="Obinatablica"/>
    <w:uiPriority w:val="62"/>
    <w:rsid w:val="00530D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Odlomakpopisa">
    <w:name w:val="List Paragraph"/>
    <w:basedOn w:val="Normal"/>
    <w:uiPriority w:val="34"/>
    <w:qFormat/>
    <w:rsid w:val="00EB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Draženka Škokan</cp:lastModifiedBy>
  <cp:revision>4</cp:revision>
  <cp:lastPrinted>2023-07-13T11:37:00Z</cp:lastPrinted>
  <dcterms:created xsi:type="dcterms:W3CDTF">2024-07-06T06:52:00Z</dcterms:created>
  <dcterms:modified xsi:type="dcterms:W3CDTF">2024-07-07T14:35:00Z</dcterms:modified>
</cp:coreProperties>
</file>