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3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 xml:space="preserve">Naziv obveznika: </w:t>
      </w:r>
      <w:r>
        <w:rPr>
          <w:rFonts w:cs="Times New Roman"/>
          <w:b w:val="1"/>
          <w:szCs w:val="24"/>
        </w:rPr>
        <w:t>OSNOVNA ŠKOLA DRAGUTINA TADIJANOVIĆA PETRINJA</w:t>
      </w:r>
    </w:p>
    <w:p>
      <w:pPr>
        <w:pStyle w:val="P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Poštanski broj i mjesto: </w:t>
      </w:r>
      <w:r>
        <w:rPr>
          <w:rFonts w:cs="Times New Roman"/>
          <w:b w:val="1"/>
          <w:szCs w:val="24"/>
        </w:rPr>
        <w:t>44250 PETRINJA</w:t>
      </w:r>
    </w:p>
    <w:p>
      <w:pPr>
        <w:pStyle w:val="P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Adresa sjedišta: </w:t>
      </w:r>
      <w:r>
        <w:rPr>
          <w:rFonts w:cs="Times New Roman"/>
          <w:b w:val="1"/>
          <w:szCs w:val="24"/>
        </w:rPr>
        <w:t>TRG MATICE HRVATSKE 9/B</w:t>
      </w:r>
    </w:p>
    <w:p>
      <w:pPr>
        <w:pStyle w:val="P3"/>
        <w:rPr>
          <w:rFonts w:cs="Times New Roman"/>
          <w:b w:val="1"/>
          <w:szCs w:val="24"/>
        </w:rPr>
      </w:pPr>
      <w:r>
        <w:rPr>
          <w:rFonts w:cs="Times New Roman"/>
          <w:szCs w:val="24"/>
        </w:rPr>
        <w:t>Šifra županije,grada:</w:t>
      </w:r>
      <w:r>
        <w:rPr>
          <w:rFonts w:cs="Times New Roman"/>
          <w:b w:val="1"/>
          <w:szCs w:val="24"/>
        </w:rPr>
        <w:t>328</w:t>
      </w:r>
    </w:p>
    <w:p>
      <w:pPr>
        <w:pStyle w:val="P3"/>
        <w:rPr>
          <w:rFonts w:cs="Times New Roman"/>
          <w:szCs w:val="24"/>
        </w:rPr>
      </w:pPr>
      <w:r>
        <w:rPr>
          <w:rFonts w:cs="Times New Roman"/>
          <w:szCs w:val="24"/>
        </w:rPr>
        <w:t>Broj RKP:</w:t>
      </w:r>
      <w:r>
        <w:rPr>
          <w:rFonts w:cs="Times New Roman"/>
          <w:b w:val="1"/>
          <w:szCs w:val="24"/>
        </w:rPr>
        <w:t>11599</w:t>
      </w:r>
    </w:p>
    <w:p>
      <w:pPr>
        <w:pStyle w:val="P3"/>
        <w:rPr>
          <w:rFonts w:cs="Times New Roman"/>
          <w:b w:val="1"/>
          <w:szCs w:val="24"/>
        </w:rPr>
      </w:pPr>
      <w:r>
        <w:rPr>
          <w:rFonts w:cs="Times New Roman"/>
          <w:szCs w:val="24"/>
        </w:rPr>
        <w:t>Matični broj:</w:t>
      </w:r>
      <w:r>
        <w:rPr>
          <w:rFonts w:cs="Times New Roman"/>
          <w:b w:val="1"/>
          <w:szCs w:val="24"/>
        </w:rPr>
        <w:t>03083004</w:t>
      </w:r>
    </w:p>
    <w:p>
      <w:pPr>
        <w:pStyle w:val="P3"/>
        <w:rPr>
          <w:rFonts w:cs="Times New Roman"/>
          <w:szCs w:val="24"/>
        </w:rPr>
      </w:pPr>
      <w:r>
        <w:rPr>
          <w:rFonts w:cs="Times New Roman"/>
          <w:szCs w:val="24"/>
        </w:rPr>
        <w:t>OIB:</w:t>
      </w:r>
      <w:r>
        <w:rPr>
          <w:rFonts w:cs="Times New Roman"/>
          <w:b w:val="1"/>
          <w:szCs w:val="24"/>
        </w:rPr>
        <w:t>34310703158</w:t>
      </w:r>
    </w:p>
    <w:p>
      <w:pPr>
        <w:pStyle w:val="P3"/>
        <w:rPr>
          <w:rFonts w:cs="Times New Roman"/>
          <w:szCs w:val="24"/>
        </w:rPr>
      </w:pPr>
      <w:r>
        <w:rPr>
          <w:rFonts w:cs="Times New Roman"/>
          <w:szCs w:val="24"/>
        </w:rPr>
        <w:t>Razina:</w:t>
      </w:r>
      <w:r>
        <w:rPr>
          <w:rFonts w:cs="Times New Roman"/>
          <w:b w:val="1"/>
          <w:szCs w:val="24"/>
        </w:rPr>
        <w:t>31</w:t>
      </w:r>
    </w:p>
    <w:p>
      <w:pPr>
        <w:pStyle w:val="P3"/>
        <w:rPr>
          <w:rFonts w:cs="Times New Roman"/>
          <w:b w:val="1"/>
          <w:szCs w:val="24"/>
        </w:rPr>
      </w:pPr>
      <w:r>
        <w:rPr>
          <w:rFonts w:cs="Times New Roman"/>
          <w:szCs w:val="24"/>
        </w:rPr>
        <w:t>Razdjel:</w:t>
      </w:r>
      <w:r>
        <w:rPr>
          <w:rFonts w:cs="Times New Roman"/>
          <w:b w:val="1"/>
          <w:szCs w:val="24"/>
        </w:rPr>
        <w:t>000</w:t>
      </w:r>
    </w:p>
    <w:p>
      <w:pPr>
        <w:pStyle w:val="P3"/>
        <w:rPr>
          <w:rFonts w:cs="Times New Roman"/>
          <w:b w:val="1"/>
          <w:szCs w:val="24"/>
        </w:rPr>
      </w:pPr>
      <w:r>
        <w:rPr>
          <w:rFonts w:cs="Times New Roman"/>
          <w:szCs w:val="24"/>
        </w:rPr>
        <w:t>Šifra djelatnosti:</w:t>
      </w:r>
      <w:r>
        <w:rPr>
          <w:rFonts w:cs="Times New Roman"/>
          <w:b w:val="1"/>
          <w:szCs w:val="24"/>
        </w:rPr>
        <w:t>8520</w:t>
      </w:r>
    </w:p>
    <w:p>
      <w:pPr>
        <w:pStyle w:val="P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Oznaka razdoblja: </w:t>
      </w:r>
      <w:r>
        <w:rPr>
          <w:rFonts w:cs="Times New Roman"/>
          <w:b w:val="1"/>
          <w:szCs w:val="24"/>
        </w:rPr>
        <w:t>01.01.202</w:t>
      </w:r>
      <w:r>
        <w:rPr>
          <w:rFonts w:cs="Times New Roman"/>
          <w:b w:val="1"/>
          <w:szCs w:val="24"/>
          <w:rtl w:val="0"/>
          <w:lang w:val="hr-HR" w:bidi="hr-HR" w:eastAsia="hr-HR"/>
        </w:rPr>
        <w:t>4</w:t>
      </w:r>
      <w:r>
        <w:rPr>
          <w:rFonts w:cs="Times New Roman"/>
          <w:b w:val="1"/>
          <w:szCs w:val="24"/>
        </w:rPr>
        <w:t>.-31.12.202</w:t>
      </w:r>
      <w:r>
        <w:rPr>
          <w:rFonts w:cs="Times New Roman"/>
          <w:b w:val="1"/>
          <w:szCs w:val="24"/>
          <w:rtl w:val="0"/>
          <w:lang w:val="hr-HR" w:bidi="hr-HR" w:eastAsia="hr-HR"/>
        </w:rPr>
        <w:t>4.</w:t>
      </w:r>
    </w:p>
    <w:p>
      <w:pPr>
        <w:pStyle w:val="P3"/>
        <w:rPr>
          <w:rFonts w:cs="Times New Roman"/>
          <w:szCs w:val="24"/>
        </w:rPr>
      </w:pPr>
    </w:p>
    <w:p>
      <w:pPr>
        <w:pStyle w:val="P3"/>
        <w:rPr>
          <w:rFonts w:cs="Times New Roman"/>
          <w:szCs w:val="24"/>
        </w:rPr>
      </w:pPr>
    </w:p>
    <w:p>
      <w:pPr>
        <w:pStyle w:val="P3"/>
        <w:rPr>
          <w:rFonts w:cs="Times New Roman"/>
          <w:szCs w:val="24"/>
        </w:rPr>
      </w:pPr>
    </w:p>
    <w:p>
      <w:pPr>
        <w:pStyle w:val="P3"/>
        <w:rPr>
          <w:rFonts w:cs="Times New Roman"/>
          <w:szCs w:val="24"/>
        </w:rPr>
      </w:pPr>
    </w:p>
    <w:p>
      <w:pPr>
        <w:pStyle w:val="P3"/>
        <w:rPr>
          <w:rFonts w:cs="Times New Roman"/>
          <w:szCs w:val="24"/>
        </w:rPr>
      </w:pPr>
    </w:p>
    <w:p>
      <w:pPr>
        <w:pStyle w:val="P3"/>
        <w:jc w:val="center"/>
        <w:rPr>
          <w:rFonts w:cs="Times New Roman"/>
          <w:b w:val="1"/>
          <w:sz w:val="28"/>
          <w:szCs w:val="28"/>
        </w:rPr>
      </w:pPr>
      <w:r>
        <w:rPr>
          <w:rFonts w:cs="Times New Roman"/>
          <w:b w:val="1"/>
          <w:sz w:val="28"/>
          <w:szCs w:val="28"/>
        </w:rPr>
        <w:t>OBRAZLOŽENJE IZVJEŠTAJA O IZVRŠENJU FINANCIJSKOG PLANA</w:t>
      </w:r>
    </w:p>
    <w:p>
      <w:pPr>
        <w:pStyle w:val="P3"/>
        <w:jc w:val="center"/>
        <w:rPr>
          <w:rFonts w:cs="Times New Roman"/>
          <w:b w:val="1"/>
          <w:sz w:val="28"/>
          <w:szCs w:val="28"/>
        </w:rPr>
      </w:pPr>
      <w:r>
        <w:rPr>
          <w:rFonts w:cs="Times New Roman"/>
          <w:b w:val="1"/>
          <w:sz w:val="28"/>
          <w:szCs w:val="28"/>
        </w:rPr>
        <w:t>od 1. – 12. mjeseca 202</w:t>
      </w:r>
      <w:r>
        <w:rPr>
          <w:rFonts w:cs="Times New Roman"/>
          <w:b w:val="1"/>
          <w:sz w:val="28"/>
          <w:szCs w:val="28"/>
          <w:rtl w:val="0"/>
          <w:lang w:val="hr-HR" w:bidi="hr-HR" w:eastAsia="hr-HR"/>
        </w:rPr>
        <w:t>4</w:t>
      </w:r>
      <w:r>
        <w:rPr>
          <w:rFonts w:cs="Times New Roman"/>
          <w:b w:val="1"/>
          <w:sz w:val="28"/>
          <w:szCs w:val="28"/>
        </w:rPr>
        <w:t>. godine</w:t>
      </w:r>
    </w:p>
    <w:p>
      <w:pPr>
        <w:pStyle w:val="P3"/>
        <w:jc w:val="center"/>
        <w:rPr>
          <w:rFonts w:cs="Times New Roman"/>
          <w:b w:val="1"/>
          <w:sz w:val="28"/>
          <w:szCs w:val="28"/>
        </w:rPr>
      </w:pPr>
    </w:p>
    <w:p>
      <w:pPr>
        <w:pStyle w:val="P3"/>
      </w:pPr>
      <w:r>
        <w:t>Odredbama članka 84. Zakona o proračunu (NN 144/21), Obrazloženje polugodišnjeg i godišnjeg izvještaja o izvršenju financijskog plana proračunskog i izvanproračunskog korisnika sastoji se od obrazloženja općeg dijela izvještaja o izvršenju financijskog plana proračunskog i izvanproračunskog korisnika i obrazloženja posebnog dijela izvještaja o izvršenju financijskog plana proračunskog i izvanproračunskog korisnika.</w:t>
      </w:r>
    </w:p>
    <w:p>
      <w:pPr>
        <w:pStyle w:val="P3"/>
      </w:pPr>
    </w:p>
    <w:p>
      <w:pPr>
        <w:pStyle w:val="P3"/>
      </w:pPr>
      <w:r>
        <w:t>Godišnji izvještaj o izvršenju, kao i podneseni financijski izvještaj za period od 1. do 12. mjeseca 202</w:t>
      </w:r>
      <w:r>
        <w:rPr>
          <w:rtl w:val="0"/>
          <w:lang w:val="hr-HR" w:bidi="hr-HR" w:eastAsia="hr-HR"/>
        </w:rPr>
        <w:t>4</w:t>
      </w:r>
      <w:r>
        <w:t>. godine iskazani su u eurima.</w:t>
      </w:r>
    </w:p>
    <w:p>
      <w:pPr>
        <w:pStyle w:val="P3"/>
      </w:pPr>
    </w:p>
    <w:p>
      <w:pPr>
        <w:pStyle w:val="P3"/>
      </w:pPr>
    </w:p>
    <w:p>
      <w:pPr>
        <w:pStyle w:val="P2"/>
        <w:rPr>
          <w:rFonts w:asciiTheme="minorHAnsi" w:hAnsiTheme="minorHAnsi" w:eastAsiaTheme="minorHAnsi"/>
          <w:sz w:val="24"/>
          <w:szCs w:val="24"/>
        </w:rPr>
      </w:pPr>
      <w:bookmarkStart w:id="1" w:name="_Hlk140149168"/>
      <w:r>
        <w:rPr>
          <w:rFonts w:asciiTheme="minorHAnsi" w:hAnsiTheme="minorHAnsi" w:eastAsiaTheme="minorHAnsi"/>
          <w:sz w:val="24"/>
          <w:szCs w:val="24"/>
        </w:rPr>
        <w:t xml:space="preserve">OBRAZLOŽENJE </w:t>
      </w:r>
      <w:r>
        <w:rPr>
          <w:rFonts w:asciiTheme="minorHAnsi" w:hAnsiTheme="minorHAnsi" w:eastAsiaTheme="minorHAnsi"/>
          <w:sz w:val="24"/>
          <w:szCs w:val="24"/>
          <w:u w:val="single"/>
        </w:rPr>
        <w:t xml:space="preserve">SAŽETKA </w:t>
      </w:r>
      <w:r>
        <w:rPr>
          <w:rFonts w:asciiTheme="minorHAnsi" w:hAnsiTheme="minorHAnsi" w:eastAsiaTheme="minorHAnsi"/>
          <w:sz w:val="24"/>
          <w:szCs w:val="24"/>
        </w:rPr>
        <w:t>GODIŠNJEG IZVJEŠTAJA O IZVRŠENJU FINANCIJSKOG PLANA</w:t>
      </w:r>
    </w:p>
    <w:p>
      <w:pPr>
        <w:jc w:val="center"/>
        <w:rPr>
          <w:rFonts w:cs="Times New Roman"/>
          <w:b w:val="1"/>
          <w:sz w:val="24"/>
          <w:szCs w:val="24"/>
        </w:rPr>
      </w:pPr>
      <w:bookmarkEnd w:id="1"/>
      <w:r>
        <w:rPr>
          <w:rFonts w:cs="Times New Roman"/>
          <w:b w:val="1"/>
          <w:sz w:val="24"/>
          <w:szCs w:val="24"/>
        </w:rPr>
        <w:t>od 1. – 12. mjeseca 202</w:t>
      </w:r>
      <w:r>
        <w:rPr>
          <w:rFonts w:cs="Times New Roman"/>
          <w:b w:val="1"/>
          <w:sz w:val="24"/>
          <w:szCs w:val="24"/>
          <w:rtl w:val="0"/>
          <w:lang w:val="hr-HR" w:bidi="hr-HR" w:eastAsia="hr-HR"/>
        </w:rPr>
        <w:t>4</w:t>
      </w:r>
      <w:r>
        <w:rPr>
          <w:rFonts w:cs="Times New Roman"/>
          <w:b w:val="1"/>
          <w:sz w:val="24"/>
          <w:szCs w:val="24"/>
        </w:rPr>
        <w:t>. godine</w:t>
      </w:r>
    </w:p>
    <w:p>
      <w:pPr>
        <w:pStyle w:val="P3"/>
        <w:numPr>
          <w:ilvl w:val="0"/>
          <w:numId w:val="10"/>
        </w:numPr>
      </w:pPr>
      <w:r>
        <w:t>Sažetak računa prihoda i rashoda</w:t>
      </w:r>
    </w:p>
    <w:p>
      <w:pPr>
        <w:pStyle w:val="P3"/>
      </w:pPr>
    </w:p>
    <w:p>
      <w:pPr>
        <w:pStyle w:val="P3"/>
      </w:pPr>
      <w:r>
        <w:t>Od ukupno planiranih prihoda poslovanja, Osnovna škola Dragutina Tadijanovića Petrinja ostvarila je 9</w:t>
      </w:r>
      <w:r>
        <w:rPr>
          <w:rtl w:val="0"/>
          <w:lang w:val="hr-HR" w:bidi="hr-HR" w:eastAsia="hr-HR"/>
        </w:rPr>
        <w:t>5</w:t>
      </w:r>
      <w:r>
        <w:t xml:space="preserve"> %, što je odgovarajući postotak za godišnji izvještaj. </w:t>
      </w:r>
    </w:p>
    <w:p>
      <w:pPr>
        <w:pStyle w:val="P3"/>
        <w:ind w:left="360"/>
      </w:pPr>
    </w:p>
    <w:p>
      <w:pPr>
        <w:rPr>
          <w:rFonts w:cs="Times New Roman"/>
          <w:bCs w:val="1"/>
          <w:sz w:val="24"/>
          <w:szCs w:val="24"/>
        </w:rPr>
      </w:pPr>
      <w:r>
        <w:rPr>
          <w:rFonts w:cs="Times New Roman"/>
          <w:bCs w:val="1"/>
          <w:sz w:val="24"/>
          <w:szCs w:val="24"/>
        </w:rPr>
        <w:t xml:space="preserve">Od ukupno planiranih rashoda Osnovna škola Dragutina Tadijanovića Petrinja ostvarila je rashod </w:t>
      </w:r>
      <w:r>
        <w:rPr>
          <w:rFonts w:cs="Times New Roman"/>
          <w:bCs w:val="1"/>
          <w:sz w:val="24"/>
          <w:szCs w:val="24"/>
          <w:rtl w:val="0"/>
          <w:lang w:val="hr-HR" w:bidi="hr-HR" w:eastAsia="hr-HR"/>
        </w:rPr>
        <w:t>95</w:t>
      </w:r>
      <w:r>
        <w:rPr>
          <w:rFonts w:cs="Times New Roman"/>
          <w:bCs w:val="1"/>
          <w:sz w:val="24"/>
          <w:szCs w:val="24"/>
        </w:rPr>
        <w:t xml:space="preserve"> % što je odgovarajući </w:t>
      </w:r>
      <w:r>
        <w:rPr>
          <w:rFonts w:cs="Times New Roman"/>
          <w:bCs w:val="1"/>
          <w:sz w:val="24"/>
          <w:szCs w:val="24"/>
        </w:rPr>
        <w:t>godišnji izvještaj</w:t>
      </w:r>
    </w:p>
    <w:p>
      <w:pPr>
        <w:jc w:val="both"/>
        <w:rPr>
          <w:rFonts w:cs="Times New Roman"/>
          <w:bCs w:val="1"/>
          <w:sz w:val="24"/>
          <w:szCs w:val="24"/>
        </w:rPr>
      </w:pPr>
      <w:r>
        <w:rPr>
          <w:rFonts w:cs="Times New Roman"/>
          <w:bCs w:val="1"/>
          <w:sz w:val="24"/>
          <w:szCs w:val="24"/>
        </w:rPr>
        <w:t xml:space="preserve">               -  Rashod za nabavu nefinancijske imovine manji je u odnosu na plan, </w:t>
      </w:r>
      <w:r>
        <w:rPr>
          <w:rFonts w:cs="Times New Roman"/>
          <w:bCs w:val="1"/>
          <w:sz w:val="24"/>
          <w:szCs w:val="24"/>
        </w:rPr>
        <w:t xml:space="preserve">                                                                smanjenje u odnosu na izvršenje prethodne godine jer je u 202</w:t>
      </w:r>
      <w:r>
        <w:rPr>
          <w:rFonts w:cs="Times New Roman"/>
          <w:bCs w:val="1"/>
          <w:sz w:val="24"/>
          <w:szCs w:val="24"/>
          <w:rtl w:val="0"/>
          <w:lang w:val="hr-HR" w:bidi="hr-HR" w:eastAsia="hr-HR"/>
        </w:rPr>
        <w:t>3</w:t>
      </w:r>
      <w:r>
        <w:rPr>
          <w:rFonts w:cs="Times New Roman"/>
          <w:bCs w:val="1"/>
          <w:sz w:val="24"/>
          <w:szCs w:val="24"/>
        </w:rPr>
        <w:t xml:space="preserve">. godini škola bila u obnovi nakon potresa  pa je više uloženo u nefinancijsku imovinu</w:t>
      </w:r>
    </w:p>
    <w:p>
      <w:pPr>
        <w:jc w:val="both"/>
        <w:rPr>
          <w:rFonts w:cs="Times New Roman"/>
          <w:bCs w:val="1"/>
          <w:sz w:val="24"/>
          <w:szCs w:val="24"/>
        </w:rPr>
      </w:pPr>
    </w:p>
    <w:p>
      <w:pPr>
        <w:jc w:val="both"/>
        <w:rPr>
          <w:rFonts w:cs="Times New Roman"/>
          <w:bCs w:val="1"/>
          <w:sz w:val="24"/>
          <w:szCs w:val="24"/>
        </w:rPr>
      </w:pPr>
    </w:p>
    <w:p>
      <w:pPr>
        <w:jc w:val="both"/>
        <w:rPr>
          <w:rFonts w:cs="Times New Roman"/>
          <w:bCs w:val="1"/>
          <w:sz w:val="24"/>
          <w:szCs w:val="24"/>
        </w:rPr>
      </w:pPr>
    </w:p>
    <w:p>
      <w:pPr>
        <w:pStyle w:val="P4"/>
        <w:numPr>
          <w:ilvl w:val="0"/>
          <w:numId w:val="10"/>
        </w:numPr>
        <w:jc w:val="both"/>
        <w:rPr>
          <w:rFonts w:cs="Times New Roman"/>
          <w:bCs w:val="1"/>
          <w:sz w:val="24"/>
          <w:szCs w:val="24"/>
        </w:rPr>
      </w:pPr>
      <w:r>
        <w:rPr>
          <w:rFonts w:cs="Times New Roman"/>
          <w:bCs w:val="1"/>
          <w:sz w:val="24"/>
          <w:szCs w:val="24"/>
        </w:rPr>
        <w:t>Sažetak posebnih izvještaja</w:t>
      </w:r>
    </w:p>
    <w:p>
      <w:pPr>
        <w:jc w:val="both"/>
        <w:rPr>
          <w:rFonts w:cs="Times New Roman"/>
          <w:bCs w:val="1"/>
          <w:sz w:val="24"/>
          <w:szCs w:val="24"/>
        </w:rPr>
      </w:pPr>
      <w:r>
        <w:rPr>
          <w:rFonts w:cs="Times New Roman"/>
          <w:bCs w:val="1"/>
          <w:sz w:val="24"/>
          <w:szCs w:val="24"/>
        </w:rPr>
        <w:t>Osnovna škola Dragutina Tadijanovića Petrinja :</w:t>
      </w:r>
    </w:p>
    <w:p>
      <w:pPr>
        <w:pStyle w:val="P4"/>
        <w:numPr>
          <w:ilvl w:val="0"/>
          <w:numId w:val="11"/>
        </w:numPr>
        <w:jc w:val="both"/>
        <w:rPr>
          <w:rFonts w:cs="Times New Roman"/>
          <w:bCs w:val="1"/>
          <w:sz w:val="24"/>
          <w:szCs w:val="24"/>
        </w:rPr>
      </w:pPr>
      <w:r>
        <w:rPr>
          <w:rFonts w:cs="Times New Roman"/>
          <w:bCs w:val="1"/>
          <w:sz w:val="24"/>
          <w:szCs w:val="24"/>
        </w:rPr>
        <w:t>Nije imala zaduživanja na domaćem i stranom tržištu novca i kapitala,</w:t>
      </w:r>
    </w:p>
    <w:p>
      <w:pPr>
        <w:pStyle w:val="P4"/>
        <w:numPr>
          <w:ilvl w:val="0"/>
          <w:numId w:val="11"/>
        </w:numPr>
        <w:jc w:val="both"/>
        <w:rPr>
          <w:rFonts w:cs="Times New Roman"/>
          <w:bCs w:val="1"/>
          <w:sz w:val="24"/>
          <w:szCs w:val="24"/>
        </w:rPr>
      </w:pPr>
      <w:r>
        <w:rPr>
          <w:rFonts w:cs="Times New Roman"/>
          <w:bCs w:val="1"/>
          <w:sz w:val="24"/>
          <w:szCs w:val="24"/>
        </w:rPr>
        <w:t>Nije koristila sredstva fondova Europske unije,</w:t>
      </w:r>
    </w:p>
    <w:p>
      <w:pPr>
        <w:pStyle w:val="P4"/>
        <w:numPr>
          <w:ilvl w:val="0"/>
          <w:numId w:val="11"/>
        </w:numPr>
        <w:jc w:val="both"/>
        <w:rPr>
          <w:rFonts w:cs="Times New Roman"/>
          <w:bCs w:val="1"/>
          <w:sz w:val="24"/>
          <w:szCs w:val="24"/>
        </w:rPr>
      </w:pPr>
      <w:r>
        <w:rPr>
          <w:rFonts w:cs="Times New Roman"/>
          <w:bCs w:val="1"/>
          <w:sz w:val="24"/>
          <w:szCs w:val="24"/>
        </w:rPr>
        <w:t>Nije imala dane zajmove i potraživanja po danim zajmovima,</w:t>
      </w:r>
    </w:p>
    <w:p>
      <w:pPr>
        <w:pStyle w:val="P4"/>
        <w:numPr>
          <w:ilvl w:val="0"/>
          <w:numId w:val="11"/>
        </w:numPr>
        <w:jc w:val="both"/>
        <w:rPr>
          <w:rFonts w:cs="Times New Roman"/>
          <w:bCs w:val="1"/>
          <w:sz w:val="24"/>
          <w:szCs w:val="24"/>
        </w:rPr>
      </w:pPr>
      <w:r>
        <w:rPr>
          <w:rFonts w:cs="Times New Roman"/>
          <w:bCs w:val="1"/>
          <w:sz w:val="24"/>
          <w:szCs w:val="24"/>
        </w:rPr>
        <w:t>Nije imala potraživanja i dospjele obveze te potencijalne obveze po osnovi sudskih sporova,</w:t>
      </w:r>
    </w:p>
    <w:p>
      <w:pPr>
        <w:pStyle w:val="P4"/>
        <w:numPr>
          <w:ilvl w:val="0"/>
          <w:numId w:val="11"/>
        </w:numPr>
        <w:jc w:val="both"/>
        <w:rPr>
          <w:rFonts w:cs="Times New Roman"/>
          <w:bCs w:val="1"/>
          <w:sz w:val="24"/>
          <w:szCs w:val="24"/>
        </w:rPr>
      </w:pPr>
      <w:r>
        <w:rPr>
          <w:rFonts w:cs="Times New Roman"/>
          <w:bCs w:val="1"/>
          <w:sz w:val="24"/>
          <w:szCs w:val="24"/>
        </w:rPr>
        <w:t>Nije imala dana jamstva i plaćanje po protestiranim jamstvima</w:t>
      </w:r>
    </w:p>
    <w:p>
      <w:pPr>
        <w:jc w:val="both"/>
        <w:rPr>
          <w:rFonts w:cs="Times New Roman"/>
          <w:bCs w:val="1"/>
          <w:sz w:val="24"/>
          <w:szCs w:val="24"/>
        </w:rPr>
      </w:pPr>
    </w:p>
    <w:p>
      <w:pPr>
        <w:jc w:val="both"/>
        <w:rPr>
          <w:rFonts w:cs="Times New Roman"/>
          <w:bCs w:val="1"/>
          <w:sz w:val="24"/>
          <w:szCs w:val="24"/>
        </w:rPr>
      </w:pPr>
    </w:p>
    <w:p>
      <w:pPr>
        <w:pStyle w:val="P4"/>
        <w:numPr>
          <w:ilvl w:val="0"/>
          <w:numId w:val="10"/>
        </w:numPr>
        <w:jc w:val="both"/>
        <w:rPr>
          <w:rFonts w:cs="Times New Roman"/>
          <w:bCs w:val="1"/>
          <w:sz w:val="24"/>
          <w:szCs w:val="24"/>
        </w:rPr>
      </w:pPr>
      <w:r>
        <w:rPr>
          <w:rFonts w:cs="Times New Roman"/>
          <w:bCs w:val="1"/>
          <w:sz w:val="24"/>
          <w:szCs w:val="24"/>
        </w:rPr>
        <w:t>Preneseni višak ili manjak</w:t>
      </w:r>
    </w:p>
    <w:p>
      <w:pPr>
        <w:jc w:val="both"/>
        <w:rPr>
          <w:rFonts w:cs="Times New Roman"/>
          <w:bCs w:val="1"/>
          <w:sz w:val="24"/>
          <w:szCs w:val="24"/>
        </w:rPr>
      </w:pPr>
      <w:r>
        <w:rPr>
          <w:rFonts w:cs="Times New Roman"/>
          <w:bCs w:val="1"/>
          <w:sz w:val="24"/>
          <w:szCs w:val="24"/>
        </w:rPr>
        <w:t>Osnovna škola Dragutina Tadijanovića na kraju godine 202</w:t>
      </w:r>
      <w:r>
        <w:rPr>
          <w:rFonts w:cs="Times New Roman"/>
          <w:bCs w:val="1"/>
          <w:sz w:val="24"/>
          <w:szCs w:val="24"/>
          <w:rtl w:val="0"/>
          <w:lang w:val="hr-HR" w:bidi="hr-HR" w:eastAsia="hr-HR"/>
        </w:rPr>
        <w:t>3</w:t>
      </w:r>
      <w:r>
        <w:rPr>
          <w:rFonts w:cs="Times New Roman"/>
          <w:bCs w:val="1"/>
          <w:sz w:val="24"/>
          <w:szCs w:val="24"/>
        </w:rPr>
        <w:t xml:space="preserve">. godine prenijela je višak u iznosu od </w:t>
      </w:r>
      <w:r>
        <w:rPr>
          <w:rFonts w:cs="Times New Roman"/>
          <w:bCs w:val="1"/>
          <w:sz w:val="24"/>
          <w:szCs w:val="24"/>
          <w:rtl w:val="0"/>
          <w:lang w:val="hr-HR" w:bidi="hr-HR" w:eastAsia="hr-HR"/>
        </w:rPr>
        <w:t>35.742,50</w:t>
      </w:r>
      <w:r>
        <w:rPr>
          <w:rFonts w:cs="Times New Roman"/>
          <w:bCs w:val="1"/>
          <w:sz w:val="24"/>
          <w:szCs w:val="24"/>
        </w:rPr>
        <w:t xml:space="preserve"> eura , u ovom obračunskom razdoblju ostvarila je </w:t>
      </w:r>
      <w:r>
        <w:rPr>
          <w:rFonts w:cs="Times New Roman"/>
          <w:bCs w:val="1"/>
          <w:sz w:val="24"/>
          <w:szCs w:val="24"/>
          <w:rtl w:val="0"/>
          <w:lang w:val="hr-HR" w:bidi="hr-HR" w:eastAsia="hr-HR"/>
        </w:rPr>
        <w:t>manjak</w:t>
      </w:r>
      <w:r>
        <w:rPr>
          <w:rFonts w:cs="Times New Roman"/>
          <w:bCs w:val="1"/>
          <w:sz w:val="24"/>
          <w:szCs w:val="24"/>
        </w:rPr>
        <w:t xml:space="preserve"> od </w:t>
      </w:r>
      <w:r>
        <w:rPr>
          <w:rFonts w:cs="Times New Roman"/>
          <w:bCs w:val="1"/>
          <w:sz w:val="24"/>
          <w:szCs w:val="24"/>
          <w:rtl w:val="0"/>
          <w:lang w:val="hr-HR" w:bidi="hr-HR" w:eastAsia="hr-HR"/>
        </w:rPr>
        <w:t>38.469,56</w:t>
      </w:r>
      <w:r>
        <w:rPr>
          <w:rFonts w:cs="Times New Roman"/>
          <w:bCs w:val="1"/>
          <w:sz w:val="24"/>
          <w:szCs w:val="24"/>
        </w:rPr>
        <w:t xml:space="preserve"> eura što sa prenesenim i neutrošenim viškom iz prethodne godine iznosi </w:t>
      </w:r>
      <w:r>
        <w:rPr>
          <w:rFonts w:cs="Times New Roman"/>
          <w:bCs w:val="1"/>
          <w:sz w:val="24"/>
          <w:szCs w:val="24"/>
          <w:rtl w:val="0"/>
          <w:lang w:val="hr-HR" w:bidi="hr-HR" w:eastAsia="hr-HR"/>
        </w:rPr>
        <w:t>manjak od 2.727,06</w:t>
      </w:r>
      <w:r>
        <w:rPr>
          <w:rFonts w:cs="Times New Roman"/>
          <w:bCs w:val="1"/>
          <w:sz w:val="24"/>
          <w:szCs w:val="24"/>
        </w:rPr>
        <w:t xml:space="preserve"> eura .</w:t>
      </w:r>
    </w:p>
    <w:p>
      <w:pPr>
        <w:rPr>
          <w:rFonts w:cs="Times New Roman"/>
          <w:bCs w:val="1"/>
          <w:sz w:val="24"/>
          <w:szCs w:val="24"/>
        </w:rPr>
      </w:pPr>
      <w:r>
        <w:rPr>
          <w:rFonts w:cs="Times New Roman"/>
          <w:bCs w:val="1"/>
          <w:sz w:val="24"/>
          <w:szCs w:val="24"/>
          <w:rtl w:val="0"/>
          <w:lang w:val="hr-HR" w:bidi="hr-HR" w:eastAsia="hr-HR"/>
        </w:rPr>
        <w:t xml:space="preserve">iskazani manjak zbog nedoznačenih sredstava MZO za udžbenike a nastalog troška u 2024. godini u </w:t>
      </w:r>
      <w:r>
        <w:rPr>
          <w:rFonts w:cs="Times New Roman"/>
          <w:bCs w:val="1"/>
          <w:sz w:val="24"/>
          <w:szCs w:val="24"/>
          <w:rtl w:val="0"/>
          <w:lang w:val="hr-HR" w:bidi="hr-HR" w:eastAsia="hr-HR"/>
        </w:rPr>
        <w:t>iznosu od 30.691,80 eura</w:t>
      </w:r>
    </w:p>
    <w:p>
      <w:pPr>
        <w:pStyle w:val="P3"/>
      </w:pPr>
    </w:p>
    <w:p>
      <w:pPr>
        <w:pStyle w:val="P3"/>
      </w:pPr>
    </w:p>
    <w:p>
      <w:pPr>
        <w:pStyle w:val="P3"/>
        <w:jc w:val="left"/>
        <w:rPr>
          <w:rFonts w:ascii="Times New Roman" w:hAnsi="Times New Roman" w:cs="Times New Roman"/>
          <w:b w:val="1"/>
          <w:sz w:val="28"/>
          <w:szCs w:val="28"/>
        </w:rPr>
      </w:pPr>
    </w:p>
    <w:p>
      <w:pPr>
        <w:pStyle w:val="P3"/>
        <w:jc w:val="center"/>
        <w:rPr>
          <w:rFonts w:ascii="Times New Roman" w:hAnsi="Times New Roman" w:cs="Times New Roman"/>
          <w:b w:val="1"/>
          <w:sz w:val="28"/>
          <w:szCs w:val="28"/>
        </w:rPr>
      </w:pPr>
    </w:p>
    <w:p>
      <w:pPr>
        <w:pStyle w:val="P1"/>
        <w:jc w:val="left"/>
      </w:pPr>
    </w:p>
    <w:sectPr>
      <w:type w:val="nextPage"/>
      <w:pgSz w:w="11906" w:h="16838" w:code="0"/>
      <w:pgMar w:left="1417" w:right="1417" w:top="1417" w:bottom="1417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A876747"/>
    <w:multiLevelType w:val="hybridMultilevel"/>
    <w:lvl w:ilvl="0" w:tplc="041A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1B525031"/>
    <w:multiLevelType w:val="hybridMultilevel"/>
    <w:lvl w:ilvl="0" w:tplc="041A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A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1A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1A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1A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1A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1A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1A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1A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2">
    <w:nsid w:val="305C7AB2"/>
    <w:multiLevelType w:val="hybridMultilevel"/>
    <w:lvl w:ilvl="0" w:tplc="041A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4D6F5C83"/>
    <w:multiLevelType w:val="hybridMultilevel"/>
    <w:lvl w:ilvl="0" w:tplc="041A0001">
      <w:start w:val="1"/>
      <w:numFmt w:val="bullet"/>
      <w:suff w:val="tab"/>
      <w:lvlText w:val=""/>
      <w:lvlJc w:val="left"/>
      <w:pPr>
        <w:ind w:hanging="360" w:left="927"/>
      </w:pPr>
      <w:rPr>
        <w:rFonts w:ascii="Symbol" w:hAnsi="Symbol" w:hint="default"/>
      </w:rPr>
    </w:lvl>
    <w:lvl w:ilvl="1" w:tplc="041A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1A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1A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1A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1A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1A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1A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1A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4">
    <w:nsid w:val="4F0238D2"/>
    <w:multiLevelType w:val="hybridMultilevel"/>
    <w:lvl w:ilvl="0" w:tplc="3514C75C">
      <w:start w:val="0"/>
      <w:numFmt w:val="bullet"/>
      <w:suff w:val="tab"/>
      <w:lvlText w:val="-"/>
      <w:lvlJc w:val="left"/>
      <w:pPr>
        <w:ind w:hanging="360" w:left="720"/>
      </w:pPr>
      <w:rPr>
        <w:rFonts w:ascii="Calibri" w:hAnsi="Calibri" w:cs="Calibri" w:eastAsiaTheme="minorEastAsia" w:hint="default"/>
      </w:rPr>
    </w:lvl>
    <w:lvl w:ilvl="1" w:tplc="041A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1A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1A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1A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1A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1A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1A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1A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5">
    <w:nsid w:val="50B6273E"/>
    <w:multiLevelType w:val="hybridMultilevel"/>
    <w:lvl w:ilvl="0" w:tplc="041A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A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1A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1A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1A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1A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1A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1A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1A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6">
    <w:nsid w:val="54AB5DE1"/>
    <w:multiLevelType w:val="hybridMultilevel"/>
    <w:lvl w:ilvl="0" w:tplc="041A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57232191"/>
    <w:multiLevelType w:val="hybridMultilevel"/>
    <w:lvl w:ilvl="0" w:tplc="91A02E34">
      <w:start w:val="0"/>
      <w:numFmt w:val="bullet"/>
      <w:suff w:val="tab"/>
      <w:lvlText w:val="-"/>
      <w:lvlJc w:val="left"/>
      <w:pPr>
        <w:ind w:hanging="360" w:left="1147"/>
      </w:pPr>
      <w:rPr>
        <w:rFonts w:ascii="Calibri" w:hAnsi="Calibri" w:cs="Calibri" w:eastAsiaTheme="minorHAnsi" w:hint="default"/>
      </w:rPr>
    </w:lvl>
    <w:lvl w:ilvl="1" w:tplc="041A0003">
      <w:start w:val="1"/>
      <w:numFmt w:val="bullet"/>
      <w:suff w:val="tab"/>
      <w:lvlText w:val="o"/>
      <w:lvlJc w:val="left"/>
      <w:pPr>
        <w:ind w:hanging="360" w:left="1867"/>
      </w:pPr>
      <w:rPr>
        <w:rFonts w:ascii="Courier New" w:hAnsi="Courier New" w:cs="Courier New" w:hint="default"/>
      </w:rPr>
    </w:lvl>
    <w:lvl w:ilvl="2" w:tplc="041A0005">
      <w:start w:val="1"/>
      <w:numFmt w:val="bullet"/>
      <w:suff w:val="tab"/>
      <w:lvlText w:val=""/>
      <w:lvlJc w:val="left"/>
      <w:pPr>
        <w:ind w:hanging="360" w:left="2587"/>
      </w:pPr>
      <w:rPr>
        <w:rFonts w:ascii="Wingdings" w:hAnsi="Wingdings" w:hint="default"/>
      </w:rPr>
    </w:lvl>
    <w:lvl w:ilvl="3" w:tplc="041A0001">
      <w:start w:val="1"/>
      <w:numFmt w:val="bullet"/>
      <w:suff w:val="tab"/>
      <w:lvlText w:val=""/>
      <w:lvlJc w:val="left"/>
      <w:pPr>
        <w:ind w:hanging="360" w:left="3307"/>
      </w:pPr>
      <w:rPr>
        <w:rFonts w:ascii="Symbol" w:hAnsi="Symbol" w:hint="default"/>
      </w:rPr>
    </w:lvl>
    <w:lvl w:ilvl="4" w:tplc="041A0003">
      <w:start w:val="1"/>
      <w:numFmt w:val="bullet"/>
      <w:suff w:val="tab"/>
      <w:lvlText w:val="o"/>
      <w:lvlJc w:val="left"/>
      <w:pPr>
        <w:ind w:hanging="360" w:left="4027"/>
      </w:pPr>
      <w:rPr>
        <w:rFonts w:ascii="Courier New" w:hAnsi="Courier New" w:cs="Courier New" w:hint="default"/>
      </w:rPr>
    </w:lvl>
    <w:lvl w:ilvl="5" w:tplc="041A0005">
      <w:start w:val="1"/>
      <w:numFmt w:val="bullet"/>
      <w:suff w:val="tab"/>
      <w:lvlText w:val=""/>
      <w:lvlJc w:val="left"/>
      <w:pPr>
        <w:ind w:hanging="360" w:left="4747"/>
      </w:pPr>
      <w:rPr>
        <w:rFonts w:ascii="Wingdings" w:hAnsi="Wingdings" w:hint="default"/>
      </w:rPr>
    </w:lvl>
    <w:lvl w:ilvl="6" w:tplc="041A0001">
      <w:start w:val="1"/>
      <w:numFmt w:val="bullet"/>
      <w:suff w:val="tab"/>
      <w:lvlText w:val=""/>
      <w:lvlJc w:val="left"/>
      <w:pPr>
        <w:ind w:hanging="360" w:left="5467"/>
      </w:pPr>
      <w:rPr>
        <w:rFonts w:ascii="Symbol" w:hAnsi="Symbol" w:hint="default"/>
      </w:rPr>
    </w:lvl>
    <w:lvl w:ilvl="7" w:tplc="041A0003">
      <w:start w:val="1"/>
      <w:numFmt w:val="bullet"/>
      <w:suff w:val="tab"/>
      <w:lvlText w:val="o"/>
      <w:lvlJc w:val="left"/>
      <w:pPr>
        <w:ind w:hanging="360" w:left="6187"/>
      </w:pPr>
      <w:rPr>
        <w:rFonts w:ascii="Courier New" w:hAnsi="Courier New" w:cs="Courier New" w:hint="default"/>
      </w:rPr>
    </w:lvl>
    <w:lvl w:ilvl="8" w:tplc="041A0005">
      <w:start w:val="1"/>
      <w:numFmt w:val="bullet"/>
      <w:suff w:val="tab"/>
      <w:lvlText w:val=""/>
      <w:lvlJc w:val="left"/>
      <w:pPr>
        <w:ind w:hanging="360" w:left="6907"/>
      </w:pPr>
      <w:rPr>
        <w:rFonts w:ascii="Wingdings" w:hAnsi="Wingdings" w:hint="default"/>
      </w:rPr>
    </w:lvl>
  </w:abstractNum>
  <w:abstractNum w:abstractNumId="8">
    <w:nsid w:val="62D27035"/>
    <w:multiLevelType w:val="hybridMultilevel"/>
    <w:lvl w:ilvl="0" w:tplc="041A000F">
      <w:start w:val="1"/>
      <w:numFmt w:val="decimal"/>
      <w:suff w:val="tab"/>
      <w:lvlText w:val="%1."/>
      <w:lvlJc w:val="left"/>
      <w:pPr>
        <w:ind w:hanging="360" w:left="720"/>
      </w:pPr>
      <w:rPr>
        <w:rFonts w:hint="default"/>
      </w:rPr>
    </w:lvl>
    <w:lvl w:ilvl="1" w:tplc="041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7AFE447E"/>
    <w:multiLevelType w:val="hybridMultilevel"/>
    <w:lvl w:ilvl="0" w:tplc="7E10A048">
      <w:start w:val="0"/>
      <w:numFmt w:val="bullet"/>
      <w:suff w:val="tab"/>
      <w:lvlText w:val="﷒"/>
      <w:lvlJc w:val="left"/>
      <w:pPr>
        <w:ind w:hanging="570" w:left="930"/>
      </w:pPr>
      <w:rPr>
        <w:rFonts w:ascii="Calibri" w:hAnsi="Calibri" w:cs="Calibri" w:eastAsia="Calibri" w:hint="default"/>
      </w:rPr>
    </w:lvl>
    <w:lvl w:ilvl="1" w:tplc="041A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1A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1A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1A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1A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1A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1A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1A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10">
    <w:nsid w:val="7CD43039"/>
    <w:multiLevelType w:val="hybridMultilevel"/>
    <w:lvl w:ilvl="0" w:tplc="041A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lang w:val="hr-HR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rFonts w:eastAsiaTheme="minorEastAsia"/>
      <w:lang w:eastAsia="hr-HR"/>
    </w:rPr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480" w:after="0" w:beforeAutospacing="0" w:afterAutospacing="0"/>
      <w:jc w:val="center"/>
      <w:outlineLvl w:val="0"/>
    </w:pPr>
    <w:rPr>
      <w:rFonts w:ascii="Times New Roman" w:hAnsi="Times New Roman" w:cstheme="majorBidi" w:eastAsiaTheme="majorEastAsia"/>
      <w:b w:val="1"/>
      <w:bCs w:val="1"/>
      <w:sz w:val="28"/>
      <w:szCs w:val="28"/>
    </w:rPr>
  </w:style>
  <w:style w:type="paragraph" w:styleId="P2">
    <w:name w:val="Heading 2"/>
    <w:basedOn w:val="P0"/>
    <w:next w:val="P0"/>
    <w:link w:val="C4"/>
    <w:qFormat/>
    <w:pPr>
      <w:keepNext w:val="1"/>
      <w:keepLines w:val="1"/>
      <w:spacing w:before="200" w:after="0" w:beforeAutospacing="0" w:afterAutospacing="0"/>
      <w:jc w:val="center"/>
      <w:outlineLvl w:val="1"/>
    </w:pPr>
    <w:rPr>
      <w:rFonts w:ascii="Times New Roman" w:hAnsi="Times New Roman" w:cstheme="majorBidi" w:eastAsiaTheme="majorEastAsia"/>
      <w:b w:val="1"/>
      <w:bCs w:val="1"/>
      <w:sz w:val="26"/>
      <w:szCs w:val="26"/>
    </w:rPr>
  </w:style>
  <w:style w:type="paragraph" w:styleId="P3">
    <w:name w:val="No Spacing"/>
    <w:qFormat/>
    <w:pPr>
      <w:spacing w:lineRule="auto" w:line="240" w:after="0" w:beforeAutospacing="0" w:afterAutospacing="0"/>
      <w:jc w:val="both"/>
    </w:pPr>
    <w:rPr>
      <w:sz w:val="24"/>
    </w:rPr>
  </w:style>
  <w:style w:type="paragraph" w:styleId="P4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aslov 1 Char"/>
    <w:basedOn w:val="C0"/>
    <w:link w:val="P1"/>
    <w:rPr>
      <w:rFonts w:ascii="Times New Roman" w:hAnsi="Times New Roman" w:cstheme="majorBidi" w:eastAsiaTheme="majorEastAsia"/>
      <w:b w:val="1"/>
      <w:bCs w:val="1"/>
      <w:sz w:val="28"/>
      <w:szCs w:val="28"/>
      <w:lang w:eastAsia="hr-HR"/>
    </w:rPr>
  </w:style>
  <w:style w:type="character" w:styleId="C4">
    <w:name w:val="Naslov 2 Char"/>
    <w:basedOn w:val="C0"/>
    <w:link w:val="P2"/>
    <w:rPr>
      <w:rFonts w:ascii="Times New Roman" w:hAnsi="Times New Roman" w:cstheme="majorBidi" w:eastAsiaTheme="majorEastAsia"/>
      <w:b w:val="1"/>
      <w:bCs w:val="1"/>
      <w:sz w:val="26"/>
      <w:szCs w:val="26"/>
      <w:lang w:eastAsia="hr-HR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3">
    <w:name w:val="Light Grid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Borders>
        <w:top w:val="single" w:sz="8" w:space="0" w:shadow="0" w:frame="0" w:color="F79646" w:themeColor="accent6"/>
        <w:left w:val="single" w:sz="8" w:space="0" w:shadow="0" w:frame="0" w:color="F79646" w:themeColor="accent6"/>
        <w:bottom w:val="single" w:sz="8" w:space="0" w:shadow="0" w:frame="0" w:color="F79646" w:themeColor="accent6"/>
        <w:right w:val="single" w:sz="8" w:space="0" w:shadow="0" w:frame="0" w:color="F79646" w:themeColor="accent6"/>
        <w:insideH w:val="single" w:sz="8" w:space="0" w:shadow="0" w:frame="0" w:color="F79646" w:themeColor="accent6"/>
        <w:insideV w:val="single" w:sz="8" w:space="0" w:shadow="0" w:frame="0" w:color="F79646" w:themeColor="accent6"/>
      </w:tblBorders>
    </w:tblPr>
    <w:trPr/>
    <w:tcPr/>
    <w:tblStylePr w:type="band2Horz">
      <w:tblPr/>
      <w:trPr/>
      <w:tcPr>
        <w:tcBorders>
          <w:top w:val="single" w:sz="8" w:space="0" w:shadow="0" w:frame="0" w:color="F79646" w:themeColor="accent6"/>
          <w:left w:val="single" w:sz="8" w:space="0" w:shadow="0" w:frame="0" w:color="F79646" w:themeColor="accent6"/>
          <w:bottom w:val="single" w:sz="8" w:space="0" w:shadow="0" w:frame="0" w:color="F79646" w:themeColor="accent6"/>
          <w:right w:val="single" w:sz="8" w:space="0" w:shadow="0" w:frame="0" w:color="F79646" w:themeColor="accent6"/>
          <w:insideV w:val="single" w:sz="8" w:space="0" w:shadow="0" w:frame="0" w:color="F79646" w:themeColor="accent6"/>
        </w:tcBorders>
      </w:tcPr>
    </w:tblStylePr>
    <w:tblStylePr w:type="band1Horz">
      <w:tblPr/>
      <w:trPr/>
      <w:tcPr>
        <w:tcBorders>
          <w:top w:val="single" w:sz="8" w:space="0" w:shadow="0" w:frame="0" w:color="F79646" w:themeColor="accent6"/>
          <w:left w:val="single" w:sz="8" w:space="0" w:shadow="0" w:frame="0" w:color="F79646" w:themeColor="accent6"/>
          <w:bottom w:val="single" w:sz="8" w:space="0" w:shadow="0" w:frame="0" w:color="F79646" w:themeColor="accent6"/>
          <w:right w:val="single" w:sz="8" w:space="0" w:shadow="0" w:frame="0" w:color="F79646" w:themeColor="accent6"/>
          <w:insideV w:val="single" w:sz="8" w:space="0" w:shadow="0" w:frame="0" w:color="F79646" w:themeColor="accent6"/>
        </w:tcBorders>
        <w:shd w:val="clear" w:color="auto" w:fill="FDE5D1" w:themeFill="accent6" w:themeFillTint="3F"/>
      </w:tcPr>
    </w:tblStylePr>
    <w:tblStylePr w:type="band1Vert">
      <w:tblPr/>
      <w:trPr/>
      <w:tcPr>
        <w:tcBorders>
          <w:top w:val="single" w:sz="8" w:space="0" w:shadow="0" w:frame="0" w:color="F79646" w:themeColor="accent6"/>
          <w:left w:val="single" w:sz="8" w:space="0" w:shadow="0" w:frame="0" w:color="F79646" w:themeColor="accent6"/>
          <w:bottom w:val="single" w:sz="8" w:space="0" w:shadow="0" w:frame="0" w:color="F79646" w:themeColor="accent6"/>
          <w:right w:val="single" w:sz="8" w:space="0" w:shadow="0" w:frame="0" w:color="F79646" w:themeColor="accent6"/>
        </w:tcBorders>
        <w:shd w:val="clear" w:color="auto" w:fill="FDE5D1" w:themeFill="accent6" w:themeFillTint="3F"/>
      </w:tcPr>
    </w:tblStylePr>
    <w:tblStylePr w:type="lastCol">
      <w:rPr>
        <w:rFonts w:asciiTheme="majorHAnsi" w:hAnsiTheme="majorHAnsi" w:cstheme="majorBidi" w:eastAsiaTheme="majorEastAsia"/>
        <w:b w:val="1"/>
        <w:bCs w:val="1"/>
      </w:rPr>
      <w:tblPr/>
      <w:trPr/>
      <w:tcPr>
        <w:tcBorders>
          <w:top w:val="single" w:sz="8" w:space="0" w:shadow="0" w:frame="0" w:color="F79646" w:themeColor="accent6"/>
          <w:left w:val="single" w:sz="8" w:space="0" w:shadow="0" w:frame="0" w:color="F79646" w:themeColor="accent6"/>
          <w:bottom w:val="single" w:sz="8" w:space="0" w:shadow="0" w:frame="0" w:color="F79646" w:themeColor="accent6"/>
          <w:right w:val="single" w:sz="8" w:space="0" w:shadow="0" w:frame="0" w:color="F79646" w:themeColor="accent6"/>
        </w:tcBorders>
      </w:tcPr>
    </w:tblStylePr>
    <w:tblStylePr w:type="firstCol">
      <w:rPr>
        <w:rFonts w:asciiTheme="majorHAnsi" w:hAnsiTheme="majorHAnsi" w:cstheme="majorBidi" w:eastAsiaTheme="majorEastAsia"/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rFonts w:asciiTheme="majorHAnsi" w:hAnsiTheme="majorHAnsi" w:cstheme="majorBidi" w:eastAsiaTheme="majorEastAsia"/>
        <w:b w:val="1"/>
        <w:bCs w:val="1"/>
      </w:rPr>
      <w:tblPr/>
      <w:trPr/>
      <w:tcPr>
        <w:tcBorders>
          <w:top w:val="double" w:sz="6" w:space="0" w:shadow="0" w:frame="0" w:color="F79646" w:themeColor="accent6"/>
          <w:left w:val="single" w:sz="8" w:space="0" w:shadow="0" w:frame="0" w:color="F79646" w:themeColor="accent6"/>
          <w:bottom w:val="single" w:sz="8" w:space="0" w:shadow="0" w:frame="0" w:color="F79646" w:themeColor="accent6"/>
          <w:right w:val="single" w:sz="8" w:space="0" w:shadow="0" w:frame="0" w:color="F79646" w:themeColor="accent6"/>
          <w:insideH w:val="nil"/>
          <w:insideV w:val="single" w:sz="8" w:space="0" w:shadow="0" w:frame="0" w:color="F79646" w:themeColor="accent6"/>
        </w:tcBorders>
      </w:tcPr>
    </w:tblStylePr>
    <w:tblStylePr w:type="firstRow">
      <w:pPr>
        <w:spacing w:lineRule="auto" w:line="240" w:before="0" w:after="0" w:beforeAutospacing="0" w:afterAutospacing="0"/>
      </w:pPr>
      <w:rPr>
        <w:rFonts w:asciiTheme="majorHAnsi" w:hAnsiTheme="majorHAnsi" w:cstheme="majorBidi" w:eastAsiaTheme="majorEastAsia"/>
        <w:b w:val="1"/>
        <w:bCs w:val="1"/>
      </w:rPr>
      <w:tblPr/>
      <w:trPr/>
      <w:tcPr>
        <w:tcBorders>
          <w:top w:val="single" w:sz="8" w:space="0" w:shadow="0" w:frame="0" w:color="F79646" w:themeColor="accent6"/>
          <w:left w:val="single" w:sz="8" w:space="0" w:shadow="0" w:frame="0" w:color="F79646" w:themeColor="accent6"/>
          <w:bottom w:val="single" w:sz="18" w:space="0" w:shadow="0" w:frame="0" w:color="F79646" w:themeColor="accent6"/>
          <w:right w:val="single" w:sz="8" w:space="0" w:shadow="0" w:frame="0" w:color="F79646" w:themeColor="accent6"/>
          <w:insideH w:val="nil"/>
          <w:insideV w:val="single" w:sz="8" w:space="0" w:shadow="0" w:frame="0" w:color="F79646" w:themeColor="accent6"/>
        </w:tcBorders>
      </w:tcPr>
    </w:tblStylePr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API/23.1.5.0</Application>
  <AppVersion>23.1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Racunovodstvo</dc:creator>
  <dcterms:created xsi:type="dcterms:W3CDTF">2025-03-02T20:31:00Z</dcterms:created>
  <cp:lastPrinted>2023-07-13T11:37:00Z</cp:lastPrinted>
  <dcterms:modified xsi:type="dcterms:W3CDTF">2025-04-30T07:42:19Z</dcterms:modified>
  <cp:revision>4</cp:revision>
</cp:coreProperties>
</file>